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3099BB61"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2A740C">
        <w:rPr>
          <w:rFonts w:ascii="Arial" w:eastAsia="Arial Unicode MS" w:hAnsi="Arial" w:cs="Arial"/>
          <w:b/>
          <w:sz w:val="24"/>
        </w:rPr>
        <w:t>3</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1D1401">
        <w:rPr>
          <w:rFonts w:ascii="Arial" w:eastAsia="SimSun" w:hAnsi="Arial" w:cs="Arial"/>
          <w:b/>
          <w:i/>
          <w:sz w:val="28"/>
        </w:rPr>
        <w:t>8229</w:t>
      </w:r>
    </w:p>
    <w:p w14:paraId="1796D3C5" w14:textId="69FCCCD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1</w:t>
      </w:r>
      <w:r w:rsidR="002A740C">
        <w:rPr>
          <w:rFonts w:ascii="Arial" w:eastAsia="Arial Unicode MS" w:hAnsi="Arial" w:cs="Arial"/>
          <w:b/>
          <w:sz w:val="24"/>
        </w:rPr>
        <w:t>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2A740C">
        <w:rPr>
          <w:rFonts w:ascii="Arial" w:eastAsia="Arial Unicode MS" w:hAnsi="Arial" w:cs="Arial"/>
          <w:b/>
          <w:sz w:val="24"/>
        </w:rPr>
        <w:t>1</w:t>
      </w:r>
      <w:r w:rsidR="001D1401">
        <w:rPr>
          <w:rFonts w:ascii="Arial" w:eastAsia="Arial Unicode MS" w:hAnsi="Arial" w:cs="Arial"/>
          <w:b/>
          <w:sz w:val="24"/>
        </w:rPr>
        <w:t>7</w:t>
      </w:r>
      <w:r w:rsidR="00F035ED" w:rsidRPr="00C155F8">
        <w:rPr>
          <w:rFonts w:ascii="Arial" w:eastAsia="Arial Unicode MS" w:hAnsi="Arial" w:cs="Arial"/>
          <w:b/>
          <w:sz w:val="24"/>
          <w:vertAlign w:val="superscript"/>
        </w:rPr>
        <w:t>th</w:t>
      </w:r>
      <w:r w:rsidR="002A740C">
        <w:rPr>
          <w:rFonts w:ascii="Arial" w:eastAsia="Arial Unicode MS" w:hAnsi="Arial" w:cs="Arial"/>
          <w:b/>
          <w:sz w:val="24"/>
        </w:rPr>
        <w:t xml:space="preserve"> </w:t>
      </w:r>
      <w:proofErr w:type="gramStart"/>
      <w:r w:rsidR="002A740C">
        <w:rPr>
          <w:rFonts w:ascii="Arial" w:eastAsia="Arial Unicode MS" w:hAnsi="Arial" w:cs="Arial"/>
          <w:b/>
          <w:sz w:val="24"/>
        </w:rPr>
        <w:t>October,</w:t>
      </w:r>
      <w:proofErr w:type="gramEnd"/>
      <w:r w:rsidR="00F035ED" w:rsidRPr="00C155F8">
        <w:rPr>
          <w:rFonts w:ascii="Arial" w:eastAsia="Arial Unicode MS" w:hAnsi="Arial" w:cs="Arial"/>
          <w:b/>
          <w:sz w:val="24"/>
        </w:rPr>
        <w:t xml:space="preserve"> 2022</w:t>
      </w:r>
      <w:r w:rsidR="00CD288B">
        <w:rPr>
          <w:rFonts w:ascii="Arial" w:eastAsia="Arial Unicode MS" w:hAnsi="Arial" w:cs="Arial"/>
          <w:b/>
          <w:sz w:val="24"/>
        </w:rPr>
        <w:tab/>
      </w:r>
      <w:r w:rsidR="00524614">
        <w:rPr>
          <w:rFonts w:ascii="Arial" w:eastAsia="Arial Unicode MS" w:hAnsi="Arial" w:cs="Arial"/>
          <w:b/>
          <w:sz w:val="24"/>
        </w:rPr>
        <w:t>was S2-2205536</w:t>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2587776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w:t>
      </w:r>
      <w:r w:rsidR="00BC0289">
        <w:rPr>
          <w:rFonts w:ascii="Arial" w:hAnsi="Arial" w:cs="Arial"/>
          <w:b/>
        </w:rPr>
        <w:t xml:space="preserve">Sol#10: </w:t>
      </w:r>
      <w:r w:rsidR="00D7538A">
        <w:rPr>
          <w:rFonts w:ascii="Arial" w:hAnsi="Arial" w:cs="Arial"/>
          <w:b/>
        </w:rPr>
        <w:t xml:space="preserve">Resolving </w:t>
      </w:r>
      <w:r w:rsidR="00BC0289">
        <w:rPr>
          <w:rFonts w:ascii="Arial" w:hAnsi="Arial" w:cs="Arial"/>
          <w:b/>
        </w:rPr>
        <w:t>remaining ENs.</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6CA17D96"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23.700-81</w:t>
      </w:r>
    </w:p>
    <w:p w14:paraId="2F6EB9DC" w14:textId="3269B708"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77F45D28"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D7538A">
        <w:rPr>
          <w:rFonts w:ascii="Arial" w:hAnsi="Arial" w:cs="Arial"/>
          <w:i/>
        </w:rPr>
        <w:t>resolves ENs in Solution #10.</w:t>
      </w:r>
    </w:p>
    <w:p w14:paraId="58DC8E64" w14:textId="38834778" w:rsidR="00AC3E97" w:rsidRPr="00C155F8" w:rsidRDefault="00AC3E97" w:rsidP="00F035ED">
      <w:pPr>
        <w:pStyle w:val="Heading1"/>
        <w:numPr>
          <w:ilvl w:val="0"/>
          <w:numId w:val="0"/>
        </w:numPr>
      </w:pPr>
      <w:r w:rsidRPr="00C155F8">
        <w:t>Discussion</w:t>
      </w:r>
    </w:p>
    <w:p w14:paraId="1BBF6F5E" w14:textId="69B3C50D" w:rsidR="009E07AB" w:rsidRDefault="009E07AB" w:rsidP="002C1FD5">
      <w:r>
        <w:t xml:space="preserve">This contribution proposes to remove the </w:t>
      </w:r>
      <w:r w:rsidR="00A2148B">
        <w:t>remaining</w:t>
      </w:r>
      <w:r>
        <w:t xml:space="preserve"> ENs in Solution #10 in TR 23.700-81 v</w:t>
      </w:r>
      <w:r w:rsidR="00AE6C10">
        <w:t>1.0.0</w:t>
      </w:r>
      <w:r w:rsidR="00A2148B">
        <w:t>.</w:t>
      </w:r>
    </w:p>
    <w:p w14:paraId="356454BA" w14:textId="388781B9" w:rsidR="00A2148B" w:rsidRDefault="00A2148B" w:rsidP="002C1FD5">
      <w:r>
        <w:t>The first EN is the following:</w:t>
      </w:r>
    </w:p>
    <w:p w14:paraId="67D158B5" w14:textId="77777777" w:rsidR="009E07AB" w:rsidRPr="009E07AB" w:rsidRDefault="009E07AB" w:rsidP="009E07AB">
      <w:pPr>
        <w:keepLines/>
        <w:suppressAutoHyphens w:val="0"/>
        <w:autoSpaceDN w:val="0"/>
        <w:adjustRightInd w:val="0"/>
        <w:ind w:left="1559" w:hanging="1134"/>
        <w:rPr>
          <w:rFonts w:eastAsia="Times New Roman"/>
          <w:color w:val="FF0000"/>
          <w:lang w:eastAsia="en-US"/>
        </w:rPr>
      </w:pPr>
      <w:r w:rsidRPr="009E07AB">
        <w:rPr>
          <w:rFonts w:eastAsia="Times New Roman"/>
          <w:color w:val="FF0000"/>
          <w:lang w:eastAsia="en-GB"/>
        </w:rPr>
        <w:t>Editor's note:</w:t>
      </w:r>
      <w:r w:rsidRPr="009E07AB">
        <w:rPr>
          <w:rFonts w:eastAsia="Times New Roman"/>
          <w:color w:val="FF0000"/>
          <w:lang w:eastAsia="en-GB"/>
        </w:rPr>
        <w:tab/>
        <w:t>It is FFS if the GEF is a standalone function or collocated with either NEF, DCCF or NWDAF.</w:t>
      </w:r>
    </w:p>
    <w:p w14:paraId="3FE4CDD6" w14:textId="28EE2134" w:rsidR="00F379A5" w:rsidRDefault="00477DA0" w:rsidP="0018454C">
      <w:pPr>
        <w:pStyle w:val="ListParagraph"/>
        <w:ind w:left="720" w:hanging="720"/>
      </w:pPr>
      <w:r>
        <w:t>The</w:t>
      </w:r>
      <w:r w:rsidR="000D36F4">
        <w:t xml:space="preserve"> advantages of using GEF </w:t>
      </w:r>
      <w:r w:rsidR="00357833">
        <w:t xml:space="preserve">as a standalone NF </w:t>
      </w:r>
      <w:r w:rsidR="000D36F4">
        <w:t>are the following:</w:t>
      </w:r>
    </w:p>
    <w:p w14:paraId="3127298C" w14:textId="08245542" w:rsidR="000D36F4" w:rsidRDefault="001C35AB" w:rsidP="00E45421">
      <w:pPr>
        <w:pStyle w:val="ListParagraph"/>
        <w:numPr>
          <w:ilvl w:val="0"/>
          <w:numId w:val="26"/>
        </w:numPr>
      </w:pPr>
      <w:r>
        <w:t>Simple</w:t>
      </w:r>
      <w:r w:rsidR="00E45421">
        <w:t xml:space="preserve"> configura</w:t>
      </w:r>
      <w:r w:rsidR="00C53922">
        <w:t>tion</w:t>
      </w:r>
      <w:r w:rsidR="00E45421">
        <w:t xml:space="preserve"> and management: </w:t>
      </w:r>
      <w:r w:rsidR="00775386">
        <w:t xml:space="preserve">The operator only </w:t>
      </w:r>
      <w:proofErr w:type="gramStart"/>
      <w:r w:rsidR="00775386">
        <w:t>needs</w:t>
      </w:r>
      <w:proofErr w:type="gramEnd"/>
      <w:r w:rsidR="00775386">
        <w:t xml:space="preserve"> to configure</w:t>
      </w:r>
      <w:r w:rsidR="006F4FEA">
        <w:t xml:space="preserve"> / provision</w:t>
      </w:r>
      <w:r w:rsidR="00775386">
        <w:t xml:space="preserve"> GEF</w:t>
      </w:r>
      <w:r w:rsidR="00815847">
        <w:t xml:space="preserve"> with the roaming agreements and policies</w:t>
      </w:r>
      <w:r w:rsidR="000A5F55">
        <w:t>.</w:t>
      </w:r>
      <w:r w:rsidR="005945BE">
        <w:t xml:space="preserve"> The data/analytics manipulation</w:t>
      </w:r>
      <w:r w:rsidR="00AC29C2">
        <w:t xml:space="preserve">s </w:t>
      </w:r>
      <w:r w:rsidR="000C37F0">
        <w:t>according to the regulatory an</w:t>
      </w:r>
      <w:r w:rsidR="00AA62D1">
        <w:t>d</w:t>
      </w:r>
      <w:r w:rsidR="000C37F0">
        <w:t xml:space="preserve"> roaming agreement</w:t>
      </w:r>
      <w:r w:rsidR="007B19E2">
        <w:t xml:space="preserve"> are transparent to the other NFs.</w:t>
      </w:r>
    </w:p>
    <w:p w14:paraId="0617AE7D" w14:textId="467C5AA6" w:rsidR="00D72B0D" w:rsidRDefault="003E6DDA" w:rsidP="003F50A0">
      <w:pPr>
        <w:pStyle w:val="ListParagraph"/>
        <w:numPr>
          <w:ilvl w:val="0"/>
          <w:numId w:val="26"/>
        </w:numPr>
      </w:pPr>
      <w:r>
        <w:t xml:space="preserve">Good security management: </w:t>
      </w:r>
      <w:r w:rsidR="005F58BE">
        <w:t>Using GEF can have</w:t>
      </w:r>
      <w:r>
        <w:t xml:space="preserve"> better service access and authorization control, </w:t>
      </w:r>
      <w:r w:rsidR="00D21D1E">
        <w:t>e.g</w:t>
      </w:r>
      <w:r>
        <w:t xml:space="preserve">., </w:t>
      </w:r>
      <w:r w:rsidR="00D21D1E">
        <w:t>h</w:t>
      </w:r>
      <w:r>
        <w:t xml:space="preserve">NRF only issue access token to </w:t>
      </w:r>
      <w:r w:rsidR="00D21D1E">
        <w:t>v</w:t>
      </w:r>
      <w:r>
        <w:t xml:space="preserve">GEF to access </w:t>
      </w:r>
      <w:r w:rsidR="002931AC">
        <w:t xml:space="preserve">the </w:t>
      </w:r>
      <w:r w:rsidR="00D21D1E">
        <w:t>h</w:t>
      </w:r>
      <w:r>
        <w:t xml:space="preserve">GEF, not to other vNFs; SEPP only allows GEF service communication </w:t>
      </w:r>
      <w:r w:rsidR="00271646">
        <w:t>for data/</w:t>
      </w:r>
      <w:r w:rsidR="00BB0A8B">
        <w:t xml:space="preserve">analytics exchange between PLMNs, </w:t>
      </w:r>
      <w:r>
        <w:t>not</w:t>
      </w:r>
      <w:r w:rsidR="00EE1C3B">
        <w:t xml:space="preserve"> allow data/analytics exchange</w:t>
      </w:r>
      <w:r>
        <w:t xml:space="preserve"> </w:t>
      </w:r>
      <w:r w:rsidR="00EE1C3B">
        <w:t>by</w:t>
      </w:r>
      <w:r>
        <w:t xml:space="preserve"> other types of NFs.</w:t>
      </w:r>
    </w:p>
    <w:p w14:paraId="55A016F9" w14:textId="7ADB1DC7" w:rsidR="003F50A0" w:rsidRDefault="003F50A0" w:rsidP="003F50A0">
      <w:r>
        <w:t>Thus, we propose to remove the EN</w:t>
      </w:r>
      <w:r w:rsidR="00B93822">
        <w:t>.</w:t>
      </w:r>
    </w:p>
    <w:p w14:paraId="4312678F" w14:textId="739CBB6A" w:rsidR="00B93822" w:rsidRDefault="00B93822" w:rsidP="003F50A0">
      <w:r>
        <w:t>The second EN to be resolved is the following:</w:t>
      </w:r>
    </w:p>
    <w:p w14:paraId="02C89C11" w14:textId="77777777" w:rsidR="004B6D60" w:rsidRPr="004B6D60" w:rsidRDefault="004B6D60" w:rsidP="004B6D60">
      <w:pPr>
        <w:keepLines/>
        <w:suppressAutoHyphens w:val="0"/>
        <w:autoSpaceDN w:val="0"/>
        <w:adjustRightInd w:val="0"/>
        <w:ind w:left="1559" w:hanging="1134"/>
        <w:rPr>
          <w:rFonts w:eastAsia="Times New Roman"/>
          <w:color w:val="FF0000"/>
          <w:lang w:eastAsia="en-US"/>
        </w:rPr>
      </w:pPr>
      <w:r w:rsidRPr="004B6D60">
        <w:rPr>
          <w:rFonts w:eastAsia="Times New Roman"/>
          <w:color w:val="FF0000"/>
          <w:lang w:eastAsia="en-GB"/>
        </w:rPr>
        <w:t>Editor's note:</w:t>
      </w:r>
      <w:r w:rsidRPr="004B6D60">
        <w:rPr>
          <w:rFonts w:eastAsia="Times New Roman"/>
          <w:color w:val="FF0000"/>
          <w:lang w:eastAsia="en-GB"/>
        </w:rPr>
        <w:tab/>
        <w:t>It is FFS on GEF discovery and selection.</w:t>
      </w:r>
    </w:p>
    <w:p w14:paraId="5ECEB8D5" w14:textId="0DC78EFB" w:rsidR="00B93822" w:rsidRDefault="00962810" w:rsidP="003F50A0">
      <w:proofErr w:type="gramStart"/>
      <w:r>
        <w:t>Actually, the</w:t>
      </w:r>
      <w:proofErr w:type="gramEnd"/>
      <w:r>
        <w:t xml:space="preserve"> solution already mentions that the GEF discovery and selection is done via NRF. Therefore, the EN can be removed. </w:t>
      </w:r>
    </w:p>
    <w:p w14:paraId="3BC4FB91" w14:textId="79A730E8" w:rsidR="00E05362" w:rsidRDefault="00E05362" w:rsidP="003F50A0">
      <w:r>
        <w:t>The third EN to be resolved is the following:</w:t>
      </w:r>
    </w:p>
    <w:p w14:paraId="1ABE2813" w14:textId="77777777" w:rsidR="00097D8D" w:rsidRPr="00097D8D" w:rsidRDefault="00097D8D" w:rsidP="00097D8D">
      <w:pPr>
        <w:keepLines/>
        <w:suppressAutoHyphens w:val="0"/>
        <w:autoSpaceDN w:val="0"/>
        <w:adjustRightInd w:val="0"/>
        <w:ind w:left="1559" w:hanging="1134"/>
        <w:rPr>
          <w:rFonts w:eastAsia="Times New Roman"/>
          <w:color w:val="FF0000"/>
          <w:lang w:eastAsia="en-US"/>
        </w:rPr>
      </w:pPr>
      <w:r w:rsidRPr="00097D8D">
        <w:rPr>
          <w:rFonts w:eastAsia="Times New Roman"/>
          <w:color w:val="FF0000"/>
          <w:lang w:eastAsia="en-GB"/>
        </w:rPr>
        <w:t>Editor's note:</w:t>
      </w:r>
      <w:r w:rsidRPr="00097D8D">
        <w:rPr>
          <w:rFonts w:eastAsia="Times New Roman"/>
          <w:color w:val="FF0000"/>
          <w:lang w:eastAsia="en-GB"/>
        </w:rPr>
        <w:tab/>
        <w:t>The impacts on services, entities and interfaces are FFS.</w:t>
      </w:r>
    </w:p>
    <w:p w14:paraId="1E0C2C9E" w14:textId="2B94B501" w:rsidR="00E05362" w:rsidRDefault="00A61D29" w:rsidP="003F50A0">
      <w:r>
        <w:t xml:space="preserve">The impact </w:t>
      </w:r>
      <w:r w:rsidR="0003245F">
        <w:t xml:space="preserve">of the solution is </w:t>
      </w:r>
      <w:r w:rsidR="00FD62C1">
        <w:t>to define a new NF, i.e., GEF.</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71528662" w:rsidR="00F035ED" w:rsidRPr="00C155F8" w:rsidRDefault="00F035ED" w:rsidP="00F035ED">
      <w:r w:rsidRPr="00C155F8">
        <w:t>The following text is proposed to be added to TR 23.700-81</w:t>
      </w:r>
      <w:r w:rsidR="00166F1D">
        <w:t xml:space="preserve"> v</w:t>
      </w:r>
      <w:r w:rsidR="00AE6C10">
        <w:t>1.0.0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14701A6D" w14:textId="411D3236" w:rsidR="001B25D4" w:rsidRPr="001B25D4" w:rsidRDefault="001B25D4" w:rsidP="00233919">
      <w:pPr>
        <w:pStyle w:val="Heading2"/>
        <w:numPr>
          <w:ilvl w:val="0"/>
          <w:numId w:val="0"/>
        </w:numPr>
        <w:ind w:left="1134" w:hanging="1134"/>
        <w:rPr>
          <w:lang w:eastAsia="zh-CN"/>
        </w:rPr>
      </w:pPr>
      <w:bookmarkStart w:id="1" w:name="_Toc9456"/>
      <w:bookmarkStart w:id="2" w:name="_Toc104433174"/>
      <w:bookmarkStart w:id="3" w:name="_Toc104467343"/>
      <w:bookmarkStart w:id="4" w:name="_Toc104467630"/>
      <w:bookmarkStart w:id="5" w:name="_Toc104467966"/>
      <w:r w:rsidRPr="001B25D4">
        <w:rPr>
          <w:lang w:eastAsia="en-GB"/>
        </w:rPr>
        <w:lastRenderedPageBreak/>
        <w:t>6.</w:t>
      </w:r>
      <w:r w:rsidRPr="001B25D4">
        <w:rPr>
          <w:lang w:eastAsia="zh-CN"/>
        </w:rPr>
        <w:t>10</w:t>
      </w:r>
      <w:r w:rsidR="00233919">
        <w:rPr>
          <w:lang w:eastAsia="en-GB"/>
        </w:rPr>
        <w:tab/>
      </w:r>
      <w:r w:rsidRPr="001B25D4">
        <w:rPr>
          <w:lang w:eastAsia="en-GB"/>
        </w:rPr>
        <w:t>Solution #</w:t>
      </w:r>
      <w:r w:rsidRPr="001B25D4">
        <w:rPr>
          <w:lang w:eastAsia="zh-CN"/>
        </w:rPr>
        <w:t>10</w:t>
      </w:r>
      <w:r w:rsidRPr="001B25D4">
        <w:rPr>
          <w:lang w:eastAsia="en-GB"/>
        </w:rPr>
        <w:t>: Support for Data and Analytics Exchange in Roaming Case</w:t>
      </w:r>
      <w:bookmarkEnd w:id="1"/>
      <w:bookmarkEnd w:id="2"/>
      <w:bookmarkEnd w:id="3"/>
      <w:bookmarkEnd w:id="4"/>
      <w:bookmarkEnd w:id="5"/>
    </w:p>
    <w:p w14:paraId="2BB28B42" w14:textId="062B8DA6" w:rsidR="001B25D4" w:rsidRPr="001B25D4" w:rsidRDefault="001B25D4" w:rsidP="00C943AE">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6" w:name="_Toc31029869"/>
      <w:bookmarkStart w:id="7" w:name="_Toc50130550"/>
      <w:bookmarkStart w:id="8" w:name="_Toc50557156"/>
      <w:bookmarkStart w:id="9" w:name="_Toc54707014"/>
      <w:bookmarkStart w:id="10" w:name="_Toc43735562"/>
      <w:bookmarkStart w:id="11" w:name="_Toc50133864"/>
      <w:bookmarkStart w:id="12" w:name="_Toc50548834"/>
      <w:bookmarkStart w:id="13" w:name="_Toc101170946"/>
      <w:bookmarkStart w:id="14" w:name="_Toc43388332"/>
      <w:bookmarkStart w:id="15" w:name="_Toc50134204"/>
      <w:bookmarkStart w:id="16" w:name="_Toc30666575"/>
      <w:bookmarkStart w:id="17" w:name="_Toc822"/>
      <w:bookmarkStart w:id="18" w:name="_Toc31030760"/>
      <w:bookmarkStart w:id="19" w:name="_Toc5932"/>
      <w:bookmarkStart w:id="20" w:name="_Toc104433175"/>
      <w:bookmarkStart w:id="21" w:name="_Toc104467344"/>
      <w:bookmarkStart w:id="22" w:name="_Toc104467631"/>
      <w:bookmarkStart w:id="23" w:name="_Toc104467967"/>
      <w:r w:rsidRPr="001B25D4">
        <w:rPr>
          <w:rFonts w:ascii="Arial" w:eastAsia="Times New Roman" w:hAnsi="Arial"/>
          <w:color w:val="auto"/>
          <w:sz w:val="28"/>
          <w:lang w:eastAsia="en-GB"/>
        </w:rPr>
        <w:t>6.</w:t>
      </w:r>
      <w:r w:rsidRPr="001B25D4">
        <w:rPr>
          <w:rFonts w:ascii="Arial" w:eastAsia="Times New Roman" w:hAnsi="Arial"/>
          <w:color w:val="auto"/>
          <w:sz w:val="28"/>
          <w:lang w:eastAsia="zh-CN"/>
        </w:rPr>
        <w:t>10</w:t>
      </w:r>
      <w:r w:rsidRPr="001B25D4">
        <w:rPr>
          <w:rFonts w:ascii="Arial" w:eastAsia="Times New Roman" w:hAnsi="Arial"/>
          <w:color w:val="auto"/>
          <w:sz w:val="28"/>
          <w:lang w:eastAsia="en-GB"/>
        </w:rPr>
        <w:t>.1</w:t>
      </w:r>
      <w:r w:rsidR="00233919">
        <w:rPr>
          <w:rFonts w:ascii="Arial" w:eastAsia="Times New Roman" w:hAnsi="Arial"/>
          <w:color w:val="auto"/>
          <w:sz w:val="28"/>
          <w:lang w:eastAsia="en-GB"/>
        </w:rPr>
        <w:tab/>
      </w:r>
      <w:r w:rsidRPr="001B25D4">
        <w:rPr>
          <w:rFonts w:ascii="Arial" w:eastAsia="Times New Roman" w:hAnsi="Arial"/>
          <w:color w:val="auto"/>
          <w:sz w:val="28"/>
          <w:lang w:eastAsia="en-GB"/>
        </w:rPr>
        <w:t>Description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B953DA3" w14:textId="77777777" w:rsidR="001B25D4" w:rsidRPr="001B25D4" w:rsidRDefault="001B25D4" w:rsidP="001B25D4">
      <w:pPr>
        <w:suppressAutoHyphens w:val="0"/>
        <w:autoSpaceDN w:val="0"/>
        <w:adjustRightInd w:val="0"/>
        <w:rPr>
          <w:rFonts w:eastAsia="Times New Roman"/>
          <w:color w:val="auto"/>
          <w:lang w:eastAsia="ko-KR"/>
        </w:rPr>
      </w:pPr>
      <w:bookmarkStart w:id="24" w:name="_Toc50557157"/>
      <w:bookmarkStart w:id="25" w:name="_Toc43388333"/>
      <w:bookmarkStart w:id="26" w:name="_Toc50134205"/>
      <w:bookmarkStart w:id="27" w:name="_Toc30666576"/>
      <w:bookmarkStart w:id="28" w:name="_Toc50130551"/>
      <w:bookmarkStart w:id="29" w:name="_Toc31030761"/>
      <w:bookmarkStart w:id="30" w:name="_Toc31029870"/>
      <w:bookmarkStart w:id="31" w:name="_Toc54707015"/>
      <w:bookmarkStart w:id="32" w:name="_Toc50548835"/>
      <w:bookmarkStart w:id="33" w:name="_Toc43735563"/>
      <w:bookmarkStart w:id="34" w:name="_Toc50133865"/>
      <w:r w:rsidRPr="001B25D4">
        <w:rPr>
          <w:rFonts w:eastAsia="Times New Roman"/>
          <w:color w:val="auto"/>
          <w:lang w:eastAsia="en-GB"/>
        </w:rPr>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276A8E2D" w14:textId="77777777" w:rsidR="001B25D4" w:rsidRPr="001B25D4" w:rsidRDefault="001B25D4" w:rsidP="001B25D4">
      <w:pPr>
        <w:suppressAutoHyphens w:val="0"/>
        <w:autoSpaceDN w:val="0"/>
        <w:adjustRightInd w:val="0"/>
        <w:rPr>
          <w:rFonts w:eastAsia="Times New Roman"/>
          <w:color w:val="auto"/>
          <w:lang w:eastAsia="ko-KR"/>
        </w:rPr>
      </w:pPr>
      <w:r w:rsidRPr="001B25D4">
        <w:rPr>
          <w:rFonts w:eastAsia="Times New Roman"/>
          <w:color w:val="auto"/>
          <w:lang w:eastAsia="en-GB"/>
        </w:rPr>
        <w:t>The solution following the following assumptions and principles:</w:t>
      </w:r>
    </w:p>
    <w:p w14:paraId="3DDD26D8"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hPLMN may impose constraints on the type or amount of data collected. The constraints may differ for different vPLMNs.</w:t>
      </w:r>
    </w:p>
    <w:p w14:paraId="682805C8"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vPLMN may impose constraints on the type or amount of data collected. The constraints may differ for different hPLMNs.</w:t>
      </w:r>
    </w:p>
    <w:p w14:paraId="6272B746"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data collection must honor user data consent for user related data collection.</w:t>
      </w:r>
    </w:p>
    <w:p w14:paraId="65EDEEAA" w14:textId="77777777" w:rsidR="001B25D4" w:rsidRPr="001B25D4" w:rsidRDefault="001B25D4" w:rsidP="001B25D4">
      <w:pPr>
        <w:suppressAutoHyphens w:val="0"/>
        <w:autoSpaceDN w:val="0"/>
        <w:adjustRightInd w:val="0"/>
        <w:rPr>
          <w:rFonts w:eastAsia="Times New Roman"/>
          <w:color w:val="auto"/>
          <w:lang w:eastAsia="ko-KR"/>
        </w:rPr>
      </w:pPr>
      <w:r w:rsidRPr="001B25D4">
        <w:rPr>
          <w:rFonts w:eastAsia="Times New Roman"/>
          <w:color w:val="auto"/>
          <w:lang w:eastAsia="en-GB"/>
        </w:rPr>
        <w:t xml:space="preserve">The solution </w:t>
      </w:r>
      <w:r w:rsidRPr="001B25D4">
        <w:rPr>
          <w:rFonts w:eastAsia="Times New Roman"/>
          <w:color w:val="auto"/>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73E9E1B9" w14:textId="77777777" w:rsidR="001B25D4" w:rsidRPr="001B25D4" w:rsidRDefault="001B25D4" w:rsidP="001B25D4">
      <w:pPr>
        <w:suppressAutoHyphens w:val="0"/>
        <w:autoSpaceDN w:val="0"/>
        <w:adjustRightInd w:val="0"/>
        <w:rPr>
          <w:rFonts w:eastAsia="Times New Roman"/>
          <w:color w:val="auto"/>
          <w:lang w:eastAsia="en-GB"/>
        </w:rPr>
      </w:pPr>
      <w:r w:rsidRPr="001B25D4">
        <w:rPr>
          <w:rFonts w:eastAsia="Times New Roman"/>
          <w:color w:val="auto"/>
          <w:lang w:eastAsia="en-GB"/>
        </w:rPr>
        <w:t>When a data/analytics consumer in PLMN A (vPLMN/hPLMN) needs to collect data/analytics from PLMN B (hPLMN/vPLMN), the consumer contacts the GEF in PLMN A, then GEF in PLMN A contacts GEF in PLMN B, or the consumer contacts the GEF in PLMN B directly. The GEF in PLMN B discovers the data/analytics producer in PLMN B and collects the data/analytics. GEF is also responsible for data/analytics manipulation before sending to the other PLMN according to the regulatory constraints and agreement.</w:t>
      </w:r>
    </w:p>
    <w:p w14:paraId="6E855A9C" w14:textId="2FA92235" w:rsidR="001B25D4" w:rsidRPr="001B25D4" w:rsidDel="00390816" w:rsidRDefault="001B25D4" w:rsidP="001B25D4">
      <w:pPr>
        <w:keepLines/>
        <w:suppressAutoHyphens w:val="0"/>
        <w:autoSpaceDN w:val="0"/>
        <w:adjustRightInd w:val="0"/>
        <w:ind w:left="1559" w:hanging="1134"/>
        <w:rPr>
          <w:del w:id="35" w:author="Ericsson00" w:date="2022-08-01T11:02:00Z"/>
          <w:rFonts w:eastAsia="Times New Roman"/>
          <w:color w:val="FF0000"/>
          <w:lang w:eastAsia="en-US"/>
        </w:rPr>
      </w:pPr>
      <w:del w:id="36" w:author="Ericsson00" w:date="2022-08-01T11:02:00Z">
        <w:r w:rsidRPr="001B25D4" w:rsidDel="00390816">
          <w:rPr>
            <w:rFonts w:eastAsia="Times New Roman"/>
            <w:color w:val="FF0000"/>
            <w:lang w:eastAsia="en-GB"/>
          </w:rPr>
          <w:delText>Editor's note:</w:delText>
        </w:r>
        <w:r w:rsidRPr="001B25D4" w:rsidDel="00390816">
          <w:rPr>
            <w:rFonts w:eastAsia="Times New Roman"/>
            <w:color w:val="FF0000"/>
            <w:lang w:eastAsia="en-GB"/>
          </w:rPr>
          <w:tab/>
          <w:delText>It is FFS if the GEF is a standalone function or collocated with either NEF, DCCF or NWDAF.</w:delText>
        </w:r>
      </w:del>
    </w:p>
    <w:p w14:paraId="0CF1FBCD" w14:textId="77777777" w:rsidR="001B25D4" w:rsidRPr="001B25D4" w:rsidRDefault="001B25D4" w:rsidP="00233919">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37" w:name="_Toc101170947"/>
      <w:bookmarkStart w:id="38" w:name="_Toc26514"/>
      <w:bookmarkStart w:id="39" w:name="_Toc738"/>
      <w:bookmarkStart w:id="40" w:name="_Toc104433176"/>
      <w:bookmarkStart w:id="41" w:name="_Toc104467345"/>
      <w:bookmarkStart w:id="42" w:name="_Toc104467632"/>
      <w:bookmarkStart w:id="43" w:name="_Toc104467968"/>
      <w:r w:rsidRPr="001B25D4">
        <w:rPr>
          <w:rFonts w:ascii="Arial" w:eastAsia="Times New Roman" w:hAnsi="Arial"/>
          <w:color w:val="auto"/>
          <w:sz w:val="28"/>
          <w:lang w:eastAsia="en-GB"/>
        </w:rPr>
        <w:lastRenderedPageBreak/>
        <w:t>6.</w:t>
      </w:r>
      <w:r w:rsidRPr="001B25D4">
        <w:rPr>
          <w:rFonts w:ascii="Arial" w:eastAsia="Times New Roman" w:hAnsi="Arial"/>
          <w:color w:val="auto"/>
          <w:sz w:val="28"/>
          <w:lang w:eastAsia="zh-CN"/>
        </w:rPr>
        <w:t>10</w:t>
      </w:r>
      <w:r w:rsidRPr="001B25D4">
        <w:rPr>
          <w:rFonts w:ascii="Arial" w:eastAsia="Times New Roman" w:hAnsi="Arial"/>
          <w:color w:val="auto"/>
          <w:sz w:val="28"/>
          <w:lang w:eastAsia="en-GB"/>
        </w:rPr>
        <w:t>.2</w:t>
      </w:r>
      <w:r w:rsidRPr="001B25D4">
        <w:rPr>
          <w:rFonts w:ascii="Arial" w:eastAsia="Times New Roman" w:hAnsi="Arial"/>
          <w:color w:val="auto"/>
          <w:sz w:val="28"/>
          <w:lang w:eastAsia="en-GB"/>
        </w:rPr>
        <w:tab/>
        <w:t>Procedures</w:t>
      </w:r>
      <w:bookmarkEnd w:id="24"/>
      <w:bookmarkEnd w:id="25"/>
      <w:bookmarkEnd w:id="26"/>
      <w:bookmarkEnd w:id="27"/>
      <w:bookmarkEnd w:id="28"/>
      <w:bookmarkEnd w:id="29"/>
      <w:bookmarkEnd w:id="30"/>
      <w:bookmarkEnd w:id="31"/>
      <w:bookmarkEnd w:id="32"/>
      <w:bookmarkEnd w:id="33"/>
      <w:bookmarkEnd w:id="34"/>
      <w:bookmarkEnd w:id="37"/>
      <w:bookmarkEnd w:id="38"/>
      <w:bookmarkEnd w:id="39"/>
      <w:bookmarkEnd w:id="40"/>
      <w:bookmarkEnd w:id="41"/>
      <w:bookmarkEnd w:id="42"/>
      <w:bookmarkEnd w:id="43"/>
    </w:p>
    <w:p w14:paraId="3A5594F4" w14:textId="77777777" w:rsidR="001B25D4" w:rsidRPr="001B25D4" w:rsidRDefault="001B25D4" w:rsidP="001B25D4">
      <w:pPr>
        <w:keepNext/>
        <w:keepLines/>
        <w:suppressAutoHyphens w:val="0"/>
        <w:autoSpaceDN w:val="0"/>
        <w:adjustRightInd w:val="0"/>
        <w:spacing w:before="60"/>
        <w:jc w:val="center"/>
        <w:rPr>
          <w:rFonts w:ascii="Arial" w:eastAsia="Times New Roman" w:hAnsi="Arial"/>
          <w:b/>
          <w:color w:val="auto"/>
          <w:lang w:eastAsia="zh-CN"/>
        </w:rPr>
      </w:pPr>
      <w:r w:rsidRPr="001B25D4">
        <w:rPr>
          <w:rFonts w:ascii="Arial" w:eastAsia="Times New Roman" w:hAnsi="Arial"/>
          <w:b/>
          <w:color w:val="auto"/>
          <w:lang w:eastAsia="en-GB"/>
        </w:rPr>
        <w:object w:dxaOrig="9644" w:dyaOrig="7964" w14:anchorId="721D6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6pt" o:ole="">
            <v:imagedata r:id="rId11" o:title=""/>
          </v:shape>
          <o:OLEObject Type="Embed" ProgID="Visio.Drawing.15" ShapeID="_x0000_i1025" DrawAspect="Content" ObjectID="_1725968824" r:id="rId12"/>
        </w:object>
      </w:r>
    </w:p>
    <w:p w14:paraId="0040384D" w14:textId="77777777" w:rsidR="001B25D4" w:rsidRPr="001B25D4" w:rsidRDefault="001B25D4" w:rsidP="001B25D4">
      <w:pPr>
        <w:keepLines/>
        <w:suppressAutoHyphens w:val="0"/>
        <w:autoSpaceDN w:val="0"/>
        <w:adjustRightInd w:val="0"/>
        <w:spacing w:after="240"/>
        <w:jc w:val="center"/>
        <w:rPr>
          <w:rFonts w:ascii="Arial" w:eastAsia="Times New Roman" w:hAnsi="Arial"/>
          <w:b/>
          <w:color w:val="auto"/>
          <w:lang w:eastAsia="zh-CN"/>
        </w:rPr>
      </w:pPr>
      <w:r w:rsidRPr="001B25D4">
        <w:rPr>
          <w:rFonts w:ascii="Arial" w:eastAsia="Times New Roman" w:hAnsi="Arial"/>
          <w:b/>
          <w:color w:val="auto"/>
          <w:lang w:eastAsia="zh-CN"/>
        </w:rPr>
        <w:t>Figure 6.10.2-1: Data and Analytics Exposure via GEF when data/analytcis consumer is in vPLMN</w:t>
      </w:r>
    </w:p>
    <w:p w14:paraId="3ABC856A"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Figure 6.10.2-1 shows the procedure when the data/analytics consumer is in the visiting PLMN (vPLMN), the NWDAF in the visiting PLMN (vNWDAF) needs to collect data/analytics from home PLMN (hPLMN) of the UE.</w:t>
      </w:r>
    </w:p>
    <w:p w14:paraId="6D570A20" w14:textId="77777777" w:rsidR="001B25D4" w:rsidRPr="001B25D4" w:rsidRDefault="001B25D4" w:rsidP="001B25D4">
      <w:pPr>
        <w:keepLines/>
        <w:suppressAutoHyphens w:val="0"/>
        <w:autoSpaceDN w:val="0"/>
        <w:adjustRightInd w:val="0"/>
        <w:ind w:left="1135" w:hanging="851"/>
        <w:rPr>
          <w:rFonts w:eastAsia="DengXian"/>
          <w:color w:val="auto"/>
          <w:lang w:eastAsia="zh-CN"/>
        </w:rPr>
      </w:pPr>
      <w:r w:rsidRPr="001B25D4">
        <w:rPr>
          <w:rFonts w:eastAsia="DengXian"/>
          <w:color w:val="auto"/>
          <w:lang w:eastAsia="zh-CN"/>
        </w:rPr>
        <w:t>NOTE:</w:t>
      </w:r>
      <w:r w:rsidRPr="001B25D4">
        <w:rPr>
          <w:rFonts w:eastAsia="DengXian"/>
          <w:color w:val="auto"/>
          <w:lang w:eastAsia="zh-CN"/>
        </w:rPr>
        <w:tab/>
        <w:t>The UE can be one single UE, group of UE or any UE roaming to the VPLMN from the HPLMN.</w:t>
      </w:r>
    </w:p>
    <w:p w14:paraId="3F2C54F4"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It is assumed that both vGEF and hGEF have been provisioned, by their respective operators, with the policies and constraints for exporting data to or from roaming/home networks.</w:t>
      </w:r>
    </w:p>
    <w:p w14:paraId="22C3DAB3"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0.</w:t>
      </w:r>
      <w:r w:rsidRPr="001B25D4">
        <w:rPr>
          <w:rFonts w:eastAsia="Times New Roman"/>
          <w:color w:val="auto"/>
          <w:lang w:eastAsia="zh-CN"/>
        </w:rPr>
        <w:tab/>
        <w:t>GEF is registered itself in the NRF. The GEF profile may include a type to indicate data collection or analytics exposure.</w:t>
      </w:r>
    </w:p>
    <w:p w14:paraId="4EA9D87F"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1-2.</w:t>
      </w:r>
      <w:r w:rsidRPr="001B25D4">
        <w:rPr>
          <w:rFonts w:eastAsia="Times New Roman"/>
          <w:color w:val="auto"/>
          <w:lang w:eastAsia="zh-CN"/>
        </w:rPr>
        <w:tab/>
        <w:t>The analytics consumer in the vPLMN (</w:t>
      </w:r>
      <w:proofErr w:type="gramStart"/>
      <w:r w:rsidRPr="001B25D4">
        <w:rPr>
          <w:rFonts w:eastAsia="Times New Roman"/>
          <w:color w:val="auto"/>
          <w:lang w:eastAsia="zh-CN"/>
        </w:rPr>
        <w:t>e.g.</w:t>
      </w:r>
      <w:proofErr w:type="gramEnd"/>
      <w:r w:rsidRPr="001B25D4">
        <w:rPr>
          <w:rFonts w:eastAsia="Times New Roman"/>
          <w:color w:val="auto"/>
          <w:lang w:eastAsia="zh-CN"/>
        </w:rPr>
        <w:t xml:space="preserve">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64E36750" w14:textId="77777777" w:rsidR="001B25D4" w:rsidRPr="001B25D4" w:rsidRDefault="001B25D4" w:rsidP="001B25D4">
      <w:pPr>
        <w:suppressAutoHyphens w:val="0"/>
        <w:autoSpaceDN w:val="0"/>
        <w:adjustRightInd w:val="0"/>
        <w:ind w:left="568" w:hanging="284"/>
        <w:rPr>
          <w:rFonts w:eastAsia="DengXian"/>
          <w:color w:val="auto"/>
          <w:lang w:eastAsia="zh-CN"/>
        </w:rPr>
      </w:pPr>
      <w:r w:rsidRPr="001B25D4">
        <w:rPr>
          <w:rFonts w:eastAsia="DengXian" w:hint="eastAsia"/>
          <w:color w:val="auto"/>
          <w:lang w:eastAsia="zh-CN"/>
        </w:rPr>
        <w:t>T</w:t>
      </w:r>
      <w:r w:rsidRPr="001B25D4">
        <w:rPr>
          <w:rFonts w:eastAsia="DengXian"/>
          <w:color w:val="auto"/>
          <w:lang w:eastAsia="zh-CN"/>
        </w:rPr>
        <w:t>here are 3 options to establish the connection between the vPLMN and HPLMN.</w:t>
      </w:r>
    </w:p>
    <w:p w14:paraId="02FF467A"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Option A:</w:t>
      </w:r>
    </w:p>
    <w:p w14:paraId="163F64B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vNWDAF discovers vGEF via vNRF. vNRF provides the ID of vGEF that is responsible for collecting data/analytics from that PLMN.</w:t>
      </w:r>
    </w:p>
    <w:p w14:paraId="19071195" w14:textId="2F8EDC6D" w:rsidR="001B25D4" w:rsidRPr="001B25D4" w:rsidDel="00390816" w:rsidRDefault="001B25D4" w:rsidP="001B25D4">
      <w:pPr>
        <w:keepLines/>
        <w:suppressAutoHyphens w:val="0"/>
        <w:autoSpaceDN w:val="0"/>
        <w:adjustRightInd w:val="0"/>
        <w:ind w:left="1559" w:hanging="1134"/>
        <w:rPr>
          <w:del w:id="44" w:author="Ericsson00" w:date="2022-08-01T11:02:00Z"/>
          <w:rFonts w:eastAsia="Times New Roman"/>
          <w:color w:val="FF0000"/>
          <w:lang w:eastAsia="en-US"/>
        </w:rPr>
      </w:pPr>
      <w:del w:id="45" w:author="Ericsson00" w:date="2022-08-01T11:02:00Z">
        <w:r w:rsidRPr="001B25D4" w:rsidDel="00390816">
          <w:rPr>
            <w:rFonts w:eastAsia="Times New Roman"/>
            <w:color w:val="FF0000"/>
            <w:lang w:eastAsia="en-GB"/>
          </w:rPr>
          <w:lastRenderedPageBreak/>
          <w:delText>Editor's note:</w:delText>
        </w:r>
        <w:r w:rsidRPr="001B25D4" w:rsidDel="00390816">
          <w:rPr>
            <w:rFonts w:eastAsia="Times New Roman"/>
            <w:color w:val="FF0000"/>
            <w:lang w:eastAsia="en-GB"/>
          </w:rPr>
          <w:tab/>
          <w:delText>It is FFS on GEF discovery and selection.</w:delText>
        </w:r>
      </w:del>
    </w:p>
    <w:p w14:paraId="3F3A307C"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vNWDAF sends data/analytics subscription request to the vGEF. Similar services as Data management and analytics exposure service of NWDAF (defined in clause 7.2, 7.3 and 7.4 in TS 23.288[5</w:t>
      </w:r>
      <w:proofErr w:type="gramStart"/>
      <w:r w:rsidRPr="001B25D4">
        <w:rPr>
          <w:rFonts w:eastAsia="Times New Roman"/>
          <w:color w:val="auto"/>
          <w:lang w:eastAsia="zh-CN"/>
        </w:rPr>
        <w:t>] )</w:t>
      </w:r>
      <w:proofErr w:type="gramEnd"/>
      <w:r w:rsidRPr="001B25D4">
        <w:rPr>
          <w:rFonts w:eastAsia="Times New Roman"/>
          <w:color w:val="auto"/>
          <w:lang w:eastAsia="zh-CN"/>
        </w:rPr>
        <w:t xml:space="preserve"> can be defined as the data and analytics subscription services provided by the GEF.</w:t>
      </w:r>
    </w:p>
    <w:p w14:paraId="3662D718"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5.</w:t>
      </w:r>
      <w:r w:rsidRPr="001B25D4">
        <w:rPr>
          <w:rFonts w:eastAsia="Times New Roman"/>
          <w:color w:val="auto"/>
          <w:lang w:eastAsia="zh-CN"/>
        </w:rPr>
        <w:tab/>
        <w:t>vGEF discovers hGEF via vNRF and hNRF. vGEF provides HPLMN ID to vNRF. vNRF interacts with hNRF via N27 reference point as defined in TS 23.501[2].</w:t>
      </w:r>
    </w:p>
    <w:p w14:paraId="08E28997"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6.</w:t>
      </w:r>
      <w:r w:rsidRPr="001B25D4">
        <w:rPr>
          <w:rFonts w:eastAsia="Times New Roman"/>
          <w:color w:val="auto"/>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p>
    <w:p w14:paraId="75C51F79"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Option B:</w:t>
      </w:r>
    </w:p>
    <w:p w14:paraId="265558F3"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vNWDAF discovers vGEF via vNRF. vNRF provides the ID of vGEF that is responsible for collecting data/analytics from that PLMN.</w:t>
      </w:r>
    </w:p>
    <w:p w14:paraId="33421CA6"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 xml:space="preserve">vNWDAF discovers hGEF via vNRF and hNRF </w:t>
      </w:r>
      <w:proofErr w:type="gramStart"/>
      <w:r w:rsidRPr="001B25D4">
        <w:rPr>
          <w:rFonts w:eastAsia="Times New Roman"/>
          <w:color w:val="auto"/>
          <w:lang w:eastAsia="zh-CN"/>
        </w:rPr>
        <w:t>taking into account</w:t>
      </w:r>
      <w:proofErr w:type="gramEnd"/>
      <w:r w:rsidRPr="001B25D4">
        <w:rPr>
          <w:rFonts w:eastAsia="Times New Roman"/>
          <w:color w:val="auto"/>
          <w:lang w:eastAsia="zh-CN"/>
        </w:rPr>
        <w:t xml:space="preserve"> the home PLMN ID and the request data or analytics exposure. The hNRF returns the ID of hGEF to the vNWDAF.</w:t>
      </w:r>
    </w:p>
    <w:p w14:paraId="0A51D2E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DengXian" w:hint="eastAsia"/>
          <w:color w:val="auto"/>
          <w:lang w:eastAsia="zh-CN"/>
        </w:rPr>
        <w:t>5</w:t>
      </w:r>
      <w:r w:rsidRPr="001B25D4">
        <w:rPr>
          <w:rFonts w:eastAsia="DengXian"/>
          <w:color w:val="auto"/>
          <w:lang w:eastAsia="zh-CN"/>
        </w:rPr>
        <w:t>.</w:t>
      </w:r>
      <w:r w:rsidRPr="001B25D4">
        <w:rPr>
          <w:rFonts w:eastAsia="DengXian"/>
          <w:color w:val="auto"/>
          <w:lang w:eastAsia="zh-CN"/>
        </w:rPr>
        <w:tab/>
      </w:r>
      <w:r w:rsidRPr="001B25D4">
        <w:rPr>
          <w:rFonts w:eastAsia="Times New Roman"/>
          <w:color w:val="auto"/>
          <w:lang w:eastAsia="zh-CN"/>
        </w:rPr>
        <w:t>vNWDAF sends data/analytics subscription request to the vGEF. The vNWDAF sends the ID of hGEF to the vGEF.</w:t>
      </w:r>
    </w:p>
    <w:p w14:paraId="00142C5B"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6.</w:t>
      </w:r>
      <w:r w:rsidRPr="001B25D4">
        <w:rPr>
          <w:rFonts w:eastAsia="Times New Roman"/>
          <w:color w:val="auto"/>
          <w:lang w:eastAsia="zh-CN"/>
        </w:rPr>
        <w:tab/>
        <w:t>vGEF send data/analytics subscription request to the hGEF. hGEF checks roaming agreements, hPLMN policies and regulatory constraints between hPLMN and the origin vPLMN to determine if the request can be accepted or must be rejected.</w:t>
      </w:r>
    </w:p>
    <w:p w14:paraId="20F64307" w14:textId="77777777" w:rsidR="001B25D4" w:rsidRPr="001B25D4" w:rsidRDefault="001B25D4" w:rsidP="001B25D4">
      <w:pPr>
        <w:suppressAutoHyphens w:val="0"/>
        <w:autoSpaceDN w:val="0"/>
        <w:adjustRightInd w:val="0"/>
        <w:ind w:left="568" w:hanging="284"/>
        <w:rPr>
          <w:rFonts w:eastAsia="DengXian"/>
          <w:color w:val="auto"/>
          <w:lang w:eastAsia="zh-CN"/>
        </w:rPr>
      </w:pPr>
      <w:r w:rsidRPr="001B25D4">
        <w:rPr>
          <w:rFonts w:eastAsia="DengXian" w:hint="eastAsia"/>
          <w:color w:val="auto"/>
          <w:lang w:eastAsia="zh-CN"/>
        </w:rPr>
        <w:t>O</w:t>
      </w:r>
      <w:r w:rsidRPr="001B25D4">
        <w:rPr>
          <w:rFonts w:eastAsia="DengXian"/>
          <w:color w:val="auto"/>
          <w:lang w:eastAsia="zh-CN"/>
        </w:rPr>
        <w:t>ption C:</w:t>
      </w:r>
    </w:p>
    <w:p w14:paraId="22761E37"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 xml:space="preserve">vNWDAF discovers hGEF via vNRF and hNRF </w:t>
      </w:r>
      <w:proofErr w:type="gramStart"/>
      <w:r w:rsidRPr="001B25D4">
        <w:rPr>
          <w:rFonts w:eastAsia="Times New Roman"/>
          <w:color w:val="auto"/>
          <w:lang w:eastAsia="zh-CN"/>
        </w:rPr>
        <w:t>taking into account</w:t>
      </w:r>
      <w:proofErr w:type="gramEnd"/>
      <w:r w:rsidRPr="001B25D4">
        <w:rPr>
          <w:rFonts w:eastAsia="Times New Roman"/>
          <w:color w:val="auto"/>
          <w:lang w:eastAsia="zh-CN"/>
        </w:rPr>
        <w:t xml:space="preserve"> the home PLMN ID and the request data or analytics exposure. hNRF provides the ID of hGEF that is responsible for collecting data/analytics from that PLMN to vNWDAF via vNRF.</w:t>
      </w:r>
    </w:p>
    <w:p w14:paraId="2871EDB6"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vNWDAF sends data/analytics subscription request to the hGEF. hGEF checks roaming agreements, hPLMN policies and regulatory constraints between hPLMN and the origin vPLMN to determine if the request can be accepted or must be rejected.</w:t>
      </w:r>
    </w:p>
    <w:p w14:paraId="35B92EC4" w14:textId="77777777" w:rsidR="001B25D4" w:rsidRPr="001B25D4" w:rsidRDefault="001B25D4" w:rsidP="001B25D4">
      <w:pPr>
        <w:keepLines/>
        <w:suppressAutoHyphens w:val="0"/>
        <w:autoSpaceDN w:val="0"/>
        <w:adjustRightInd w:val="0"/>
        <w:ind w:left="1135" w:hanging="851"/>
        <w:rPr>
          <w:rFonts w:eastAsia="Times New Roman"/>
          <w:color w:val="auto"/>
          <w:lang w:eastAsia="zh-CN"/>
        </w:rPr>
      </w:pPr>
      <w:r w:rsidRPr="001B25D4">
        <w:rPr>
          <w:rFonts w:eastAsia="Times New Roman"/>
          <w:color w:val="auto"/>
          <w:lang w:eastAsia="zh-CN"/>
        </w:rPr>
        <w:t>NOTE:</w:t>
      </w:r>
      <w:r w:rsidRPr="001B25D4">
        <w:rPr>
          <w:rFonts w:eastAsia="Times New Roman"/>
          <w:color w:val="auto"/>
          <w:lang w:eastAsia="zh-CN"/>
        </w:rPr>
        <w:tab/>
        <w:t>Which option(s) to be supported will be determined in the conclusion phase.</w:t>
      </w:r>
    </w:p>
    <w:p w14:paraId="1C43F24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7-8.</w:t>
      </w:r>
      <w:r w:rsidRPr="001B25D4">
        <w:rPr>
          <w:rFonts w:eastAsia="Times New Roman"/>
          <w:color w:val="auto"/>
          <w:lang w:eastAsia="zh-CN"/>
        </w:rPr>
        <w:tab/>
        <w:t>If the checks in step 6 is OK, hGEF enforces user consent (for UE-related data collection) and collects data/analytics from the data/analytics sources in the hPLMN.</w:t>
      </w:r>
    </w:p>
    <w:p w14:paraId="75B1E51B"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9.</w:t>
      </w:r>
      <w:r w:rsidRPr="001B25D4">
        <w:rPr>
          <w:rFonts w:eastAsia="Times New Roman"/>
          <w:color w:val="auto"/>
          <w:lang w:eastAsia="zh-CN"/>
        </w:rPr>
        <w:tab/>
        <w:t xml:space="preserve">hGEF manipulates the data/analytics according to the hPLMN policies and regulatory constrains and roaming agreements, </w:t>
      </w:r>
      <w:proofErr w:type="gramStart"/>
      <w:r w:rsidRPr="001B25D4">
        <w:rPr>
          <w:rFonts w:eastAsia="Times New Roman"/>
          <w:color w:val="auto"/>
          <w:lang w:eastAsia="zh-CN"/>
        </w:rPr>
        <w:t>e.g.</w:t>
      </w:r>
      <w:proofErr w:type="gramEnd"/>
      <w:r w:rsidRPr="001B25D4">
        <w:rPr>
          <w:rFonts w:eastAsia="Times New Roman"/>
          <w:color w:val="auto"/>
          <w:lang w:eastAsia="zh-CN"/>
        </w:rPr>
        <w:t xml:space="preserve"> remove some sensitive data, changes the granularity of the data, anonymization, formatting, etc.</w:t>
      </w:r>
    </w:p>
    <w:p w14:paraId="44AF24CF"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10-11.</w:t>
      </w:r>
      <w:r w:rsidRPr="001B25D4">
        <w:rPr>
          <w:rFonts w:eastAsia="Times New Roman"/>
          <w:color w:val="auto"/>
          <w:lang w:eastAsia="zh-CN"/>
        </w:rPr>
        <w:tab/>
        <w:t>hGEF sends the data/analytics to vGEF and vGEF forwards to vNWDAF. vGEF may also manipulate the data/analytics to the format that the vNWDAF can understand.</w:t>
      </w:r>
    </w:p>
    <w:p w14:paraId="0E23F78A"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12.</w:t>
      </w:r>
      <w:r w:rsidRPr="001B25D4">
        <w:rPr>
          <w:rFonts w:eastAsia="Times New Roman"/>
          <w:color w:val="auto"/>
          <w:lang w:eastAsia="zh-CN"/>
        </w:rPr>
        <w:tab/>
        <w:t>Alternatively, hGEF can send the data/analytics notification directly to the vNWDAF, if vGEF provides notification endpoint information of the vNWDAF in step 6.</w:t>
      </w:r>
    </w:p>
    <w:p w14:paraId="14DC108C"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 xml:space="preserve">When the analytics/data consumer </w:t>
      </w:r>
      <w:proofErr w:type="gramStart"/>
      <w:r w:rsidRPr="001B25D4">
        <w:rPr>
          <w:rFonts w:eastAsia="Times New Roman"/>
          <w:color w:val="auto"/>
          <w:lang w:eastAsia="zh-CN"/>
        </w:rPr>
        <w:t>is located in</w:t>
      </w:r>
      <w:proofErr w:type="gramEnd"/>
      <w:r w:rsidRPr="001B25D4">
        <w:rPr>
          <w:rFonts w:eastAsia="Times New Roman"/>
          <w:color w:val="auto"/>
          <w:lang w:eastAsia="zh-CN"/>
        </w:rPr>
        <w:t xml:space="preserve">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5973932A" w14:textId="77777777" w:rsidR="001B25D4" w:rsidRPr="001B25D4" w:rsidRDefault="001B25D4" w:rsidP="001B25D4">
      <w:pPr>
        <w:keepNext/>
        <w:keepLines/>
        <w:suppressAutoHyphens w:val="0"/>
        <w:autoSpaceDN w:val="0"/>
        <w:adjustRightInd w:val="0"/>
        <w:spacing w:before="60"/>
        <w:jc w:val="center"/>
        <w:rPr>
          <w:rFonts w:ascii="Arial" w:eastAsia="Times New Roman" w:hAnsi="Arial"/>
          <w:b/>
          <w:color w:val="auto"/>
          <w:lang w:eastAsia="en-GB"/>
        </w:rPr>
      </w:pPr>
      <w:r w:rsidRPr="001B25D4">
        <w:rPr>
          <w:rFonts w:ascii="Arial" w:eastAsia="Times New Roman" w:hAnsi="Arial"/>
          <w:b/>
          <w:color w:val="auto"/>
          <w:lang w:eastAsia="en-GB"/>
        </w:rPr>
        <w:object w:dxaOrig="9622" w:dyaOrig="7844" w14:anchorId="6DC75E0D">
          <v:shape id="_x0000_i1026" type="#_x0000_t75" style="width:480.5pt;height:390pt" o:ole="">
            <v:imagedata r:id="rId13" o:title=""/>
          </v:shape>
          <o:OLEObject Type="Embed" ProgID="Visio.Drawing.15" ShapeID="_x0000_i1026" DrawAspect="Content" ObjectID="_1725968825" r:id="rId14"/>
        </w:object>
      </w:r>
    </w:p>
    <w:p w14:paraId="41E196F6" w14:textId="77777777" w:rsidR="001B25D4" w:rsidRPr="001B25D4" w:rsidRDefault="001B25D4" w:rsidP="001B25D4">
      <w:pPr>
        <w:keepLines/>
        <w:suppressAutoHyphens w:val="0"/>
        <w:autoSpaceDN w:val="0"/>
        <w:adjustRightInd w:val="0"/>
        <w:spacing w:after="240"/>
        <w:jc w:val="center"/>
        <w:rPr>
          <w:rFonts w:ascii="Arial" w:eastAsia="Times New Roman" w:hAnsi="Arial"/>
          <w:b/>
          <w:color w:val="auto"/>
          <w:lang w:eastAsia="en-US"/>
        </w:rPr>
      </w:pPr>
      <w:r w:rsidRPr="001B25D4">
        <w:rPr>
          <w:rFonts w:ascii="Arial" w:eastAsia="Times New Roman" w:hAnsi="Arial"/>
          <w:b/>
          <w:color w:val="auto"/>
          <w:lang w:eastAsia="en-US"/>
        </w:rPr>
        <w:t>Figure 6.10.2-2: Data and Analytics Exposure via GEF when data/analytics consumer is in hPLMN</w:t>
      </w:r>
    </w:p>
    <w:p w14:paraId="06693A01" w14:textId="77777777" w:rsidR="001B25D4" w:rsidRPr="001B25D4" w:rsidRDefault="001B25D4" w:rsidP="00233919">
      <w:pPr>
        <w:keepNext/>
        <w:keepLines/>
        <w:suppressAutoHyphens w:val="0"/>
        <w:autoSpaceDN w:val="0"/>
        <w:adjustRightInd w:val="0"/>
        <w:spacing w:before="120"/>
        <w:ind w:left="1134" w:hanging="1134"/>
        <w:outlineLvl w:val="2"/>
        <w:rPr>
          <w:rFonts w:ascii="Arial" w:eastAsia="Times New Roman" w:hAnsi="Arial"/>
          <w:color w:val="auto"/>
          <w:sz w:val="28"/>
          <w:lang w:eastAsia="zh-CN"/>
        </w:rPr>
      </w:pPr>
      <w:bookmarkStart w:id="46" w:name="_Toc43735564"/>
      <w:bookmarkStart w:id="47" w:name="_Toc31030762"/>
      <w:bookmarkStart w:id="48" w:name="_Toc50548836"/>
      <w:bookmarkStart w:id="49" w:name="_Toc43388334"/>
      <w:bookmarkStart w:id="50" w:name="_Toc30666577"/>
      <w:bookmarkStart w:id="51" w:name="_Toc24368"/>
      <w:bookmarkStart w:id="52" w:name="_Toc50134206"/>
      <w:bookmarkStart w:id="53" w:name="_Toc50130552"/>
      <w:bookmarkStart w:id="54" w:name="_Toc50133866"/>
      <w:bookmarkStart w:id="55" w:name="_Toc31029871"/>
      <w:bookmarkStart w:id="56" w:name="_Toc101170948"/>
      <w:bookmarkStart w:id="57" w:name="_Toc50557158"/>
      <w:bookmarkStart w:id="58" w:name="_Toc54707016"/>
      <w:bookmarkStart w:id="59" w:name="_Toc13681"/>
      <w:bookmarkStart w:id="60" w:name="_Toc104433177"/>
      <w:bookmarkStart w:id="61" w:name="_Toc104467346"/>
      <w:bookmarkStart w:id="62" w:name="_Toc104467633"/>
      <w:bookmarkStart w:id="63" w:name="_Toc104467969"/>
      <w:r w:rsidRPr="001B25D4">
        <w:rPr>
          <w:rFonts w:ascii="Arial" w:eastAsia="Times New Roman" w:hAnsi="Arial"/>
          <w:color w:val="auto"/>
          <w:sz w:val="28"/>
          <w:lang w:eastAsia="zh-CN"/>
        </w:rPr>
        <w:t>6.10.3</w:t>
      </w:r>
      <w:r w:rsidRPr="001B25D4">
        <w:rPr>
          <w:rFonts w:ascii="Arial" w:eastAsia="Times New Roman" w:hAnsi="Arial"/>
          <w:color w:val="auto"/>
          <w:sz w:val="28"/>
          <w:lang w:eastAsia="zh-CN"/>
        </w:rPr>
        <w:tab/>
      </w:r>
      <w:r w:rsidRPr="001B25D4">
        <w:rPr>
          <w:rFonts w:ascii="Arial" w:eastAsia="Times New Roman" w:hAnsi="Arial"/>
          <w:color w:val="auto"/>
          <w:sz w:val="28"/>
          <w:lang w:eastAsia="en-GB"/>
        </w:rPr>
        <w:t xml:space="preserve">Impacts on </w:t>
      </w:r>
      <w:r w:rsidRPr="001B25D4">
        <w:rPr>
          <w:rFonts w:ascii="Arial" w:eastAsia="Times New Roman" w:hAnsi="Arial"/>
          <w:color w:val="auto"/>
          <w:sz w:val="28"/>
          <w:lang w:eastAsia="zh-CN"/>
        </w:rPr>
        <w:t>services,</w:t>
      </w:r>
      <w:r w:rsidRPr="001B25D4">
        <w:rPr>
          <w:rFonts w:ascii="Arial" w:eastAsia="Times New Roman" w:hAnsi="Arial"/>
          <w:color w:val="auto"/>
          <w:sz w:val="28"/>
          <w:lang w:eastAsia="en-GB"/>
        </w:rPr>
        <w:t xml:space="preserve"> </w:t>
      </w:r>
      <w:proofErr w:type="gramStart"/>
      <w:r w:rsidRPr="001B25D4">
        <w:rPr>
          <w:rFonts w:ascii="Arial" w:eastAsia="Times New Roman" w:hAnsi="Arial"/>
          <w:color w:val="auto"/>
          <w:sz w:val="28"/>
          <w:lang w:eastAsia="en-GB"/>
        </w:rPr>
        <w:t>entities</w:t>
      </w:r>
      <w:proofErr w:type="gramEnd"/>
      <w:r w:rsidRPr="001B25D4">
        <w:rPr>
          <w:rFonts w:ascii="Arial" w:eastAsia="Times New Roman" w:hAnsi="Arial"/>
          <w:color w:val="auto"/>
          <w:sz w:val="28"/>
          <w:lang w:eastAsia="en-GB"/>
        </w:rPr>
        <w:t xml:space="preserve"> and interfaces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DE2FBA7" w14:textId="3C683373" w:rsidR="001B25D4" w:rsidRPr="001B25D4" w:rsidDel="00390816" w:rsidRDefault="001B25D4" w:rsidP="001B25D4">
      <w:pPr>
        <w:keepLines/>
        <w:suppressAutoHyphens w:val="0"/>
        <w:autoSpaceDN w:val="0"/>
        <w:adjustRightInd w:val="0"/>
        <w:ind w:left="1559" w:hanging="1134"/>
        <w:rPr>
          <w:del w:id="64" w:author="Ericsson00" w:date="2022-08-01T11:02:00Z"/>
          <w:rFonts w:eastAsia="Times New Roman"/>
          <w:color w:val="FF0000"/>
          <w:lang w:eastAsia="en-US"/>
        </w:rPr>
      </w:pPr>
      <w:del w:id="65" w:author="Ericsson00" w:date="2022-08-01T11:02:00Z">
        <w:r w:rsidRPr="001B25D4" w:rsidDel="00390816">
          <w:rPr>
            <w:rFonts w:eastAsia="Times New Roman"/>
            <w:color w:val="FF0000"/>
            <w:lang w:eastAsia="en-GB"/>
          </w:rPr>
          <w:delText>Editor's note:</w:delText>
        </w:r>
        <w:r w:rsidRPr="001B25D4" w:rsidDel="00390816">
          <w:rPr>
            <w:rFonts w:eastAsia="Times New Roman"/>
            <w:color w:val="FF0000"/>
            <w:lang w:eastAsia="en-GB"/>
          </w:rPr>
          <w:tab/>
          <w:delText>The impacts on services, entities and interfaces are FFS.</w:delText>
        </w:r>
      </w:del>
    </w:p>
    <w:p w14:paraId="0E223751" w14:textId="37428B8B" w:rsidR="006B1F38" w:rsidRPr="00C155F8" w:rsidRDefault="000C53D0">
      <w:pPr>
        <w:pStyle w:val="ListParagraph"/>
        <w:numPr>
          <w:ilvl w:val="0"/>
          <w:numId w:val="26"/>
        </w:numPr>
        <w:rPr>
          <w:lang w:eastAsia="zh-CN"/>
        </w:rPr>
        <w:pPrChange w:id="66" w:author="Ericsson00" w:date="2022-08-01T11:02:00Z">
          <w:pPr/>
        </w:pPrChange>
      </w:pPr>
      <w:ins w:id="67" w:author="Ericsson00" w:date="2022-08-01T11:03:00Z">
        <w:r>
          <w:rPr>
            <w:lang w:eastAsia="zh-CN"/>
          </w:rPr>
          <w:t>New NF, i.e., GEF, needs to be specified.</w:t>
        </w:r>
      </w:ins>
    </w:p>
    <w:bookmarkEnd w:id="0"/>
    <w:p w14:paraId="3F083A49" w14:textId="2B2E1A46" w:rsidR="00047151" w:rsidRDefault="00047151" w:rsidP="00D75E7F">
      <w:pPr>
        <w:pStyle w:val="B1"/>
        <w:ind w:left="720" w:firstLine="0"/>
      </w:pPr>
    </w:p>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C2131" w14:textId="77777777" w:rsidR="00541AFB" w:rsidRDefault="00541AFB">
      <w:pPr>
        <w:spacing w:after="0"/>
      </w:pPr>
      <w:r>
        <w:separator/>
      </w:r>
    </w:p>
  </w:endnote>
  <w:endnote w:type="continuationSeparator" w:id="0">
    <w:p w14:paraId="63B6BACE" w14:textId="77777777" w:rsidR="00541AFB" w:rsidRDefault="00541AFB">
      <w:pPr>
        <w:spacing w:after="0"/>
      </w:pPr>
      <w:r>
        <w:continuationSeparator/>
      </w:r>
    </w:p>
  </w:endnote>
  <w:endnote w:type="continuationNotice" w:id="1">
    <w:p w14:paraId="704D9311" w14:textId="77777777" w:rsidR="00541AFB" w:rsidRDefault="00541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DD66" w14:textId="77777777" w:rsidR="00541AFB" w:rsidRDefault="00541AFB">
      <w:pPr>
        <w:spacing w:after="0"/>
      </w:pPr>
      <w:r>
        <w:separator/>
      </w:r>
    </w:p>
  </w:footnote>
  <w:footnote w:type="continuationSeparator" w:id="0">
    <w:p w14:paraId="68F54642" w14:textId="77777777" w:rsidR="00541AFB" w:rsidRDefault="00541AFB">
      <w:pPr>
        <w:spacing w:after="0"/>
      </w:pPr>
      <w:r>
        <w:continuationSeparator/>
      </w:r>
    </w:p>
  </w:footnote>
  <w:footnote w:type="continuationNotice" w:id="1">
    <w:p w14:paraId="0D6D982F" w14:textId="77777777" w:rsidR="00541AFB" w:rsidRDefault="00541A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31C7"/>
    <w:rsid w:val="001C35AB"/>
    <w:rsid w:val="001C4B18"/>
    <w:rsid w:val="001D1401"/>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2D53"/>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A740C"/>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4614"/>
    <w:rsid w:val="00527FC4"/>
    <w:rsid w:val="005302C2"/>
    <w:rsid w:val="00530B7E"/>
    <w:rsid w:val="00531079"/>
    <w:rsid w:val="00531A79"/>
    <w:rsid w:val="005322B2"/>
    <w:rsid w:val="00532F4C"/>
    <w:rsid w:val="00533D2E"/>
    <w:rsid w:val="00534A3C"/>
    <w:rsid w:val="0053510A"/>
    <w:rsid w:val="00541AFB"/>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3226"/>
    <w:rsid w:val="005C35E2"/>
    <w:rsid w:val="005C46C8"/>
    <w:rsid w:val="005C5521"/>
    <w:rsid w:val="005C557C"/>
    <w:rsid w:val="005C56A2"/>
    <w:rsid w:val="005C57A6"/>
    <w:rsid w:val="005C7512"/>
    <w:rsid w:val="005C77AE"/>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4FEA"/>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4DD7"/>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2D1"/>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6C10"/>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0289"/>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B0D"/>
    <w:rsid w:val="00D72F92"/>
    <w:rsid w:val="00D741C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1277</Words>
  <Characters>7283</Characters>
  <Application>Microsoft Office Word</Application>
  <DocSecurity>0</DocSecurity>
  <Lines>60</Lines>
  <Paragraphs>17</Paragraphs>
  <ScaleCrop>false</ScaleCrop>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Ericsson00</cp:lastModifiedBy>
  <cp:revision>3</cp:revision>
  <cp:lastPrinted>2018-08-14T00:59:00Z</cp:lastPrinted>
  <dcterms:created xsi:type="dcterms:W3CDTF">2022-09-29T12:38:00Z</dcterms:created>
  <dcterms:modified xsi:type="dcterms:W3CDTF">2022-09-29T12:39:00Z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